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B3" w:rsidRPr="008653B3" w:rsidRDefault="008653B3" w:rsidP="008653B3">
      <w:pPr>
        <w:rPr>
          <w:rFonts w:ascii="Times New Roman" w:hAnsi="Times New Roman" w:cs="Times New Roman"/>
          <w:b/>
          <w:sz w:val="28"/>
          <w:szCs w:val="28"/>
        </w:rPr>
      </w:pPr>
      <w:r w:rsidRPr="008653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финансовой деятельности в 2021 </w:t>
      </w:r>
      <w:proofErr w:type="gramStart"/>
      <w:r w:rsidRPr="008653B3">
        <w:rPr>
          <w:rFonts w:ascii="Times New Roman" w:hAnsi="Times New Roman" w:cs="Times New Roman"/>
          <w:b/>
          <w:sz w:val="28"/>
          <w:szCs w:val="28"/>
        </w:rPr>
        <w:t>году.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.</w:t>
      </w:r>
      <w:proofErr w:type="gramEnd"/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proofErr w:type="gramStart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Балансовая  стоимость</w:t>
      </w:r>
      <w:proofErr w:type="gramEnd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основных средств на 01.01.2022г. составляет: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недвижимое имущество – 15 134 975,70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особо ценное движимое имущество – 7 969 519,31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- иное движимое имущество – 5 324 839.88 рублей.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 сравнению с 2020г. балансовая стоимость увеличилась на 782 645,01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Меры по повышению квалификации переподготовки специалистов учреждения в 2021году прошли: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повышение квалификации - 21 человек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2021 году мероприятий в рамках субсидий на цели осуществления капитальных вложений не было.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u w:val="single"/>
          <w:lang w:eastAsia="ru-RU"/>
        </w:rPr>
        <w:t>Фактические поступления за 2021 год составляют 45 754 429,19 рублей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: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1.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из них субсидии на выполнение муниципального задания из городского бюджета 9 560 594,16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2.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субсидии из областного бюджета 25 606 590,00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3.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родительская плата 6 845 658,24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4.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поступления от оказания платных образовательных услуг 2 104 522,38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5.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прочие поступления: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питание сотрудников 101 843,73 рубля;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пени 119,68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    6.   целевые поступления 1 626 101,00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u w:val="single"/>
          <w:lang w:eastAsia="ru-RU"/>
        </w:rPr>
        <w:t>Кассовые расходы за 2021 год составляют 45 996 929,92 рублей: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1.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выплату заработной платы 24 444 708,11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2.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начисления на оплату труда 7 334 938,04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3.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услуги связи 104 465,91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4.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коммунальные услуги 2 768 444,00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5.  Арендная плата за пользованием имущества 32 400,00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6.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услуги по содержанию имущества 993 121,54рублей;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7.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Прочие услуги 1 493 710,96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8.</w:t>
      </w:r>
      <w:r w:rsidRPr="008653B3">
        <w:rPr>
          <w:rFonts w:ascii="Times New Roman" w:eastAsia="Times New Roman" w:hAnsi="Times New Roman" w:cs="Calibri"/>
          <w:color w:val="000000"/>
          <w:sz w:val="14"/>
          <w:szCs w:val="20"/>
          <w:lang w:eastAsia="ru-RU"/>
        </w:rPr>
        <w:t xml:space="preserve">      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На прочие расходы 302 876,00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9.   На покупку основных средств 1 413 500,20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10. На покупку материальных запасов 7 108 765,16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Остаток средств на лицевом счете 80273J00920 учреждения открытом в УФК по Калининградской области: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2 составил 128 507,11 рублей, который будет направлен для оплаты поставщикам за продукты питания в январе 2022 года;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4 остаток составил 1 753 377,81 рублей, который будет направлен на оплату коммунальных услуг в январе 2022 года.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lastRenderedPageBreak/>
        <w:t>План финансово-хозяйственной деятельности в части доходов исполнен на 100%.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План финансово-хозяйственной деятельности в части расходов исполнен на 96%. Расхождение на 4</w:t>
      </w:r>
      <w:proofErr w:type="gramStart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%  произошло</w:t>
      </w:r>
      <w:proofErr w:type="gramEnd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по КОСГУ 340 в связи с необходимостью наличия денежных средств на расчетном счете ДОУ на оплату за продукты питания в начале следующего года, по КОСГУ 223 на оплату коммунальных услуг в январе 2022 года.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Поступление субсидии на выполнение муниципального задания из городского бюджета и областного бюджета в 2021г. по сравнению с 2020г. увеличилась на 10%, что составило 3 414 834,29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Доходы от внебюджетной деятельности в 2021г. по сравнению с 2020г. увеличились на 25%, что составило 2 273 583,45 рублей.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bookmarkStart w:id="0" w:name="_GoBack"/>
      <w:bookmarkEnd w:id="0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u w:val="single"/>
          <w:lang w:eastAsia="ru-RU"/>
        </w:rPr>
        <w:t>Баланс учреждения (0503730)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Показатели по счету 401.40 (доходы будущих периодов):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2 - 0,00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4 - на начало года (согласно соглашения от 16.12.2020г. №89-4), в сумме 62 449 774,70 рублей, на конец года (согласно соглашения от 02.12.2021г. №89-</w:t>
      </w:r>
      <w:proofErr w:type="gramStart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3 )</w:t>
      </w:r>
      <w:proofErr w:type="gramEnd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, в сумме 68 544 782,37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Показатели по счету 401.60 (резервы предстоящих расходов):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2 - резерв отпусков и начисления - на начало года в сумме 58 557,48 рублей, на конец года в сумме 32 315,01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4 - резерв отпусков и начисления - на начало года в сумме 3 127 016,63 рублей, на конец года в сумме 1 127 030,25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u w:val="single"/>
          <w:lang w:eastAsia="ru-RU"/>
        </w:rPr>
        <w:t>Сведения об остатках денежных средств учреждения (0503779)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Остаток средств на лицевом счете 80273J00920 учреждения открытом в УФК по Калининградской области: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2 составил 128 507,11 рублей, который будет направлен для оплаты поставщикам за продукты питания в январе 2022 года;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по КВФО 4 остаток составил 1 753 377,81 рублей, который будет направлен на оплату коммунальных услуг в январе 2022 года.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u w:val="single"/>
          <w:lang w:eastAsia="ru-RU"/>
        </w:rPr>
        <w:t>Сведения по дебиторской и кредиторской задолженности учреждения (ф.0503769)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Наличие дебиторской задолженности на конец 2021г.: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по КВФО 2 составила – 40 449,80 рублей - задолженность по оплате родительской платы и за платные образовательные услуги. 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7"/>
          <w:szCs w:val="20"/>
          <w:lang w:eastAsia="ru-RU"/>
        </w:rPr>
        <w:t>По сравнению с предыдущим 2020г. дебиторская задолженность увеличилась на    10 574,53 рублей (26%);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 КВФО 4 составила - 68 631 681,95 рублей: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- доходы будущих периодов (2022-2023 </w:t>
      </w:r>
      <w:proofErr w:type="gramStart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года)  -</w:t>
      </w:r>
      <w:proofErr w:type="gramEnd"/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68 544 782,37 рублей;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- аванс по коммунальным услугам - 86 899,58 рублей.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4"/>
          <w:szCs w:val="20"/>
          <w:lang w:eastAsia="ru-RU"/>
        </w:rPr>
        <w:t>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7"/>
          <w:szCs w:val="20"/>
          <w:lang w:eastAsia="ru-RU"/>
        </w:rPr>
        <w:lastRenderedPageBreak/>
        <w:t>По сравнению с предыдущим 2020г. дебиторская задолженность увеличилась на 6 125 610,35 рублей (9%);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 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Кредиторская задолженность на конец 2021г.: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 КВФО 2 составила – 684 820,09 рублей - переплата родительской платы за оказание платных услуг и за питание сотрудников;</w:t>
      </w:r>
    </w:p>
    <w:p w:rsidR="008653B3" w:rsidRPr="008653B3" w:rsidRDefault="008653B3" w:rsidP="008653B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8653B3">
        <w:rPr>
          <w:rFonts w:ascii="Times New Roman" w:eastAsia="Times New Roman" w:hAnsi="Times New Roman" w:cs="Calibri"/>
          <w:color w:val="000000"/>
          <w:sz w:val="27"/>
          <w:szCs w:val="20"/>
          <w:lang w:eastAsia="ru-RU"/>
        </w:rPr>
        <w:t>По сравнению с предыдущим 2020г. кредиторская задолженность уменьшилась на 33 914,62 рублей (5%);</w:t>
      </w: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    </w:t>
      </w:r>
    </w:p>
    <w:p w:rsidR="008653B3" w:rsidRPr="008653B3" w:rsidRDefault="008653B3" w:rsidP="008653B3">
      <w:pPr>
        <w:rPr>
          <w:rFonts w:ascii="Times New Roman" w:hAnsi="Times New Roman" w:cs="Times New Roman"/>
          <w:b/>
          <w:sz w:val="28"/>
          <w:szCs w:val="28"/>
        </w:rPr>
      </w:pPr>
      <w:r w:rsidRPr="008653B3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по КВФО 4 составила - 0,00 рублей</w:t>
      </w:r>
    </w:p>
    <w:sectPr w:rsidR="008653B3" w:rsidRPr="008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E"/>
    <w:rsid w:val="005B2F1F"/>
    <w:rsid w:val="008653B3"/>
    <w:rsid w:val="00A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CE0"/>
  <w15:chartTrackingRefBased/>
  <w15:docId w15:val="{16C86F5E-180E-4207-A24A-E1FEE3B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2022-04-04T15:24:00Z</dcterms:created>
  <dcterms:modified xsi:type="dcterms:W3CDTF">2022-04-04T15:29:00Z</dcterms:modified>
</cp:coreProperties>
</file>